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E0B9A" w14:textId="77777777" w:rsidR="00A26895" w:rsidRDefault="00A268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88FBC02" w14:textId="77777777" w:rsidR="00A26895" w:rsidRDefault="003D69E8">
      <w:pPr>
        <w:widowControl w:val="0"/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75192DF" wp14:editId="6F7C4A21">
                <wp:simplePos x="0" y="0"/>
                <wp:positionH relativeFrom="column">
                  <wp:posOffset>3517900</wp:posOffset>
                </wp:positionH>
                <wp:positionV relativeFrom="paragraph">
                  <wp:posOffset>101600</wp:posOffset>
                </wp:positionV>
                <wp:extent cx="1813560" cy="675640"/>
                <wp:effectExtent l="0" t="0" r="0" b="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43983" y="3446943"/>
                          <a:ext cx="1804035" cy="666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4035" h="666115" extrusionOk="0">
                              <a:moveTo>
                                <a:pt x="0" y="0"/>
                              </a:moveTo>
                              <a:lnTo>
                                <a:pt x="0" y="666115"/>
                              </a:lnTo>
                              <a:lnTo>
                                <a:pt x="1804035" y="666115"/>
                              </a:lnTo>
                              <a:lnTo>
                                <a:pt x="180403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97DA5C" w14:textId="77777777" w:rsidR="00A26895" w:rsidRDefault="00A26895">
                            <w:pPr>
                              <w:spacing w:after="0" w:line="240" w:lineRule="auto"/>
                              <w:ind w:right="-1800"/>
                              <w:textDirection w:val="btLr"/>
                            </w:pPr>
                          </w:p>
                          <w:p w14:paraId="03A0E78C" w14:textId="77777777" w:rsidR="00A26895" w:rsidRDefault="00A26895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192DF" id="Freeform 2" o:spid="_x0000_s1026" style="position:absolute;margin-left:277pt;margin-top:8pt;width:142.8pt;height:53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04035,6661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" adj="-11796480,,5400" path="m,l,666115r1804035,l1804035,,,xe" filled="f" stroked="f">
                <v:stroke joinstyle="miter"/>
                <v:formulas/>
                <v:path arrowok="t" o:extrusionok="f" o:connecttype="custom" textboxrect="0,0,1804035,666115"/>
                <v:textbox inset="7pt,3pt,7pt,3pt">
                  <w:txbxContent>
                    <w:p w14:paraId="5397DA5C" w14:textId="77777777" w:rsidR="00A26895" w:rsidRDefault="00A26895">
                      <w:pPr>
                        <w:spacing w:after="0" w:line="240" w:lineRule="auto"/>
                        <w:ind w:right="-1800"/>
                        <w:textDirection w:val="btLr"/>
                      </w:pPr>
                    </w:p>
                    <w:p w14:paraId="03A0E78C" w14:textId="77777777" w:rsidR="00A26895" w:rsidRDefault="00A26895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D2C60E3" w14:textId="77777777" w:rsidR="00A26895" w:rsidRDefault="003D69E8">
      <w:pPr>
        <w:widowControl w:val="0"/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noProof/>
          <w:sz w:val="28"/>
          <w:szCs w:val="28"/>
        </w:rPr>
        <w:drawing>
          <wp:inline distT="0" distB="0" distL="114300" distR="114300" wp14:anchorId="0E34BB05" wp14:editId="17F75901">
            <wp:extent cx="5943600" cy="15113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1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8D94DE" w14:textId="77777777" w:rsidR="00A26895" w:rsidRDefault="00A26895">
      <w:pPr>
        <w:widowControl w:val="0"/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</w:p>
    <w:p w14:paraId="2494EF87" w14:textId="77777777" w:rsidR="00A26895" w:rsidRDefault="003D69E8">
      <w:pPr>
        <w:widowControl w:val="0"/>
        <w:spacing w:after="0" w:line="240" w:lineRule="auto"/>
        <w:jc w:val="center"/>
        <w:rPr>
          <w:b/>
          <w:color w:val="000000"/>
          <w:sz w:val="34"/>
          <w:szCs w:val="34"/>
        </w:rPr>
      </w:pPr>
      <w:r>
        <w:rPr>
          <w:b/>
          <w:color w:val="000000"/>
          <w:sz w:val="34"/>
          <w:szCs w:val="34"/>
        </w:rPr>
        <w:t>B</w:t>
      </w:r>
      <w:r>
        <w:rPr>
          <w:b/>
          <w:sz w:val="34"/>
          <w:szCs w:val="34"/>
        </w:rPr>
        <w:t>ylaws</w:t>
      </w:r>
      <w:r>
        <w:rPr>
          <w:b/>
          <w:color w:val="000000"/>
          <w:sz w:val="34"/>
          <w:szCs w:val="34"/>
        </w:rPr>
        <w:t xml:space="preserve"> for the North Olympic Peninsula Lead Entity for Salmon</w:t>
      </w:r>
    </w:p>
    <w:p w14:paraId="00B5D0A9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</w:p>
    <w:p w14:paraId="5A1282DD" w14:textId="77777777" w:rsidR="004C1B64" w:rsidRDefault="004C1B64">
      <w:pP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</w:p>
    <w:p w14:paraId="13333D38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sz w:val="28"/>
          <w:szCs w:val="28"/>
          <w:shd w:val="clear" w:color="auto" w:fill="666666"/>
        </w:rPr>
      </w:pPr>
      <w:r>
        <w:rPr>
          <w:b/>
          <w:i/>
          <w:color w:val="666666"/>
          <w:sz w:val="28"/>
          <w:szCs w:val="28"/>
        </w:rPr>
        <w:t>Section I: Introduction, Mission, and Scope</w:t>
      </w:r>
      <w:r>
        <w:rPr>
          <w:rFonts w:ascii="Arial" w:eastAsia="Arial" w:hAnsi="Arial" w:cs="Arial"/>
          <w:b/>
          <w:color w:val="66666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  <w:shd w:val="clear" w:color="auto" w:fill="666666"/>
        </w:rPr>
        <w:t xml:space="preserve">  </w:t>
      </w:r>
    </w:p>
    <w:p w14:paraId="2FC03F9F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</w:p>
    <w:p w14:paraId="7D558C07" w14:textId="77777777" w:rsidR="00A26895" w:rsidRDefault="003D69E8">
      <w:pPr>
        <w:spacing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North Olympic Peninsula Lead Entity for Salmon: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55E9DD81" w14:textId="77777777" w:rsidR="00A26895" w:rsidRDefault="003D69E8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North Olympic Peninsula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Lead Entity for Salmon is a coalition that works with its members, partners and other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stakeholders to coordinate, integrate, and implement local salmon recovery efforts. Our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membership includes local governments, tribes, technical experts, non-profits, and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citizens. We identify, prioritize, develop and seek funding for needed salmon recovery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efforts, including, but not limited to habitat restoration.</w:t>
      </w:r>
    </w:p>
    <w:p w14:paraId="07E38C89" w14:textId="77777777" w:rsidR="00A26895" w:rsidRDefault="003D69E8">
      <w:pPr>
        <w:spacing w:line="240" w:lineRule="auto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Our Mission:</w:t>
      </w: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 xml:space="preserve"> </w:t>
      </w:r>
    </w:p>
    <w:p w14:paraId="3F93221C" w14:textId="77777777" w:rsidR="00A26895" w:rsidRDefault="003D69E8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We are working towards a future on the North Olympic Peninsula with a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healthy Puget Sound ecosystem and abundant salmon populations that support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ceremonial, subsistence, recreational and commercial fisheries.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More goals are outlined in the Strategy of the North Olympic Peninsula Lead Entity for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Salmon and the Salmon Recovery Plans.</w:t>
      </w:r>
    </w:p>
    <w:p w14:paraId="0A906ACF" w14:textId="77777777" w:rsidR="00A26895" w:rsidRDefault="003D69E8">
      <w:pPr>
        <w:spacing w:line="240" w:lineRule="auto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Lead Entity Area:</w:t>
      </w: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 xml:space="preserve"> </w:t>
      </w:r>
    </w:p>
    <w:p w14:paraId="615E4A7C" w14:textId="77777777" w:rsidR="00A26895" w:rsidRDefault="003D69E8">
      <w:pP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Our geographic area stretches from Clallam County’s eastern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boundary near Gardner all along the Strait of Juan de Fuca west to Cape Flattery. It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includes the western portion of Water Resource Inventory Area (WRIA) 17 (Quilcene-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Snow), WRIA 18 East (Dungeness), WRIA 18 West (Elwha-Morse) and WRIA 19 (Lyre-Hoko).</w:t>
      </w:r>
    </w:p>
    <w:p w14:paraId="795C553B" w14:textId="77777777" w:rsidR="00A26895" w:rsidRDefault="00A26895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663E9EA2" w14:textId="77777777" w:rsidR="00A26895" w:rsidRDefault="005B1B8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pict w14:anchorId="071E38F5">
          <v:rect id="_x0000_i1025" style="width:0;height:1.5pt" o:hralign="center" o:hrstd="t" o:hr="t" fillcolor="#a0a0a0" stroked="f"/>
        </w:pict>
      </w:r>
    </w:p>
    <w:p w14:paraId="0B58A3C4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28F53CB" w14:textId="77777777" w:rsidR="004C1B64" w:rsidRDefault="004C1B64">
      <w:pPr>
        <w:spacing w:after="0" w:line="240" w:lineRule="auto"/>
        <w:rPr>
          <w:b/>
          <w:i/>
          <w:color w:val="666666"/>
          <w:sz w:val="28"/>
          <w:szCs w:val="28"/>
        </w:rPr>
      </w:pPr>
    </w:p>
    <w:p w14:paraId="2F8E786D" w14:textId="77777777" w:rsidR="004C1B64" w:rsidRDefault="004C1B64">
      <w:pPr>
        <w:spacing w:after="0" w:line="240" w:lineRule="auto"/>
        <w:rPr>
          <w:b/>
          <w:i/>
          <w:color w:val="666666"/>
          <w:sz w:val="28"/>
          <w:szCs w:val="28"/>
        </w:rPr>
      </w:pPr>
    </w:p>
    <w:p w14:paraId="07AEB3BC" w14:textId="77777777" w:rsidR="004C1B64" w:rsidRDefault="004C1B64">
      <w:pPr>
        <w:spacing w:after="0" w:line="240" w:lineRule="auto"/>
        <w:rPr>
          <w:b/>
          <w:i/>
          <w:color w:val="666666"/>
          <w:sz w:val="28"/>
          <w:szCs w:val="28"/>
        </w:rPr>
      </w:pPr>
    </w:p>
    <w:p w14:paraId="5431E75F" w14:textId="77777777" w:rsidR="004C1B64" w:rsidRDefault="004C1B64">
      <w:pPr>
        <w:spacing w:after="0" w:line="240" w:lineRule="auto"/>
        <w:rPr>
          <w:b/>
          <w:i/>
          <w:color w:val="666666"/>
          <w:sz w:val="28"/>
          <w:szCs w:val="28"/>
        </w:rPr>
      </w:pPr>
    </w:p>
    <w:p w14:paraId="19860A92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666666"/>
          <w:sz w:val="28"/>
          <w:szCs w:val="28"/>
        </w:rPr>
      </w:pPr>
      <w:r>
        <w:rPr>
          <w:b/>
          <w:i/>
          <w:color w:val="666666"/>
          <w:sz w:val="28"/>
          <w:szCs w:val="28"/>
        </w:rPr>
        <w:t>Section 2: Initiating Governments</w:t>
      </w:r>
      <w:r>
        <w:rPr>
          <w:rFonts w:ascii="Arial" w:eastAsia="Arial" w:hAnsi="Arial" w:cs="Arial"/>
          <w:b/>
          <w:color w:val="666666"/>
          <w:sz w:val="28"/>
          <w:szCs w:val="28"/>
        </w:rPr>
        <w:t xml:space="preserve"> </w:t>
      </w:r>
    </w:p>
    <w:p w14:paraId="46503B76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666666"/>
          <w:sz w:val="28"/>
          <w:szCs w:val="28"/>
        </w:rPr>
      </w:pPr>
    </w:p>
    <w:p w14:paraId="0F05EF18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Initiating Government </w:t>
      </w: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Participants</w:t>
      </w:r>
      <w:r>
        <w:rPr>
          <w:rFonts w:ascii="Arial" w:eastAsia="Arial" w:hAnsi="Arial" w:cs="Arial"/>
          <w:b/>
          <w:color w:val="3D85C6"/>
          <w:sz w:val="24"/>
          <w:szCs w:val="24"/>
        </w:rPr>
        <w:t>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71B21B4C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8CE198F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Initiating Governments are counties, cities,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and tribes within our geographic area. They include the Jamestown S'Klallam Tribe, the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Lower Elwha Klallam Tribe, the Makah Tribe, the City of Port Angeles, the City of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Sequim, and Clallam County.</w:t>
      </w:r>
    </w:p>
    <w:p w14:paraId="75B772F7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9C25CC7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06DF943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Initiating Government </w:t>
      </w: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Responsibilities</w:t>
      </w:r>
      <w:r>
        <w:rPr>
          <w:rFonts w:ascii="Arial" w:eastAsia="Arial" w:hAnsi="Arial" w:cs="Arial"/>
          <w:b/>
          <w:color w:val="3D85C6"/>
          <w:sz w:val="24"/>
          <w:szCs w:val="24"/>
        </w:rPr>
        <w:t>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2600574F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6222E9D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Responsibilities of Initiating Government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Members are:</w:t>
      </w:r>
    </w:p>
    <w:p w14:paraId="186330BA" w14:textId="77777777" w:rsidR="00A26895" w:rsidRDefault="00A2689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051146E" w14:textId="77777777" w:rsidR="00A26895" w:rsidRDefault="003D6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Appointing their government’s representative (and designate an alternate if they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choose).</w:t>
      </w:r>
    </w:p>
    <w:p w14:paraId="31899707" w14:textId="77777777" w:rsidR="00A26895" w:rsidRDefault="003D6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Appointing a representative (and designate an alternate if they choose) to serve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on the Lead Entity’s Technical Review Group.</w:t>
      </w:r>
    </w:p>
    <w:p w14:paraId="0673C3EF" w14:textId="77777777" w:rsidR="00A26895" w:rsidRDefault="003D6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Appointing Citizen Lead Entity Group Members</w:t>
      </w:r>
    </w:p>
    <w:p w14:paraId="223059E1" w14:textId="77777777" w:rsidR="00A26895" w:rsidRDefault="003D6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Forming the Lead Entity with the State of Washington.</w:t>
      </w:r>
    </w:p>
    <w:p w14:paraId="33F4CD1A" w14:textId="77777777" w:rsidR="00A26895" w:rsidRDefault="003D6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Establishing and approving the bylaws, as well as any bylaw changes.</w:t>
      </w:r>
    </w:p>
    <w:p w14:paraId="516D3968" w14:textId="77777777" w:rsidR="00A26895" w:rsidRDefault="003D6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Selecting a Contracting Agent for the Lead Entity.</w:t>
      </w:r>
    </w:p>
    <w:p w14:paraId="66403840" w14:textId="77777777" w:rsidR="00A26895" w:rsidRDefault="003D6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Making recommendations to the Contracting Agent regarding hiring a Coordinator.</w:t>
      </w:r>
    </w:p>
    <w:p w14:paraId="48BAD78D" w14:textId="77777777" w:rsidR="00A26895" w:rsidRDefault="003D6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Defining the Lead Entity’s Geographic Boundaries</w:t>
      </w:r>
    </w:p>
    <w:p w14:paraId="42EC1011" w14:textId="77777777" w:rsidR="00A26895" w:rsidRDefault="003D6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Participating as part of the Lead Entity Group to meet their designated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responsibilities.</w:t>
      </w:r>
    </w:p>
    <w:p w14:paraId="75313FD4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6A982E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Decision-Making</w:t>
      </w: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 by the Initiating Governments: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</w:p>
    <w:p w14:paraId="7D5D19C3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7B2542F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Agreement of all Initiating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Government Members is required</w:t>
      </w:r>
      <w:r w:rsidR="004C1B64">
        <w:rPr>
          <w:rFonts w:ascii="Arial" w:eastAsia="Arial" w:hAnsi="Arial" w:cs="Arial"/>
          <w:color w:val="000000"/>
          <w:sz w:val="24"/>
          <w:szCs w:val="24"/>
        </w:rPr>
        <w:t xml:space="preserve"> for: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0F548324" w14:textId="77777777" w:rsidR="00A26895" w:rsidRDefault="00A2689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837BD7E" w14:textId="77777777" w:rsidR="00A26895" w:rsidRDefault="003D6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Changing or amending bylaws.</w:t>
      </w:r>
    </w:p>
    <w:p w14:paraId="4D6D5434" w14:textId="77777777" w:rsidR="00A26895" w:rsidRDefault="003D6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Forming,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estructuring, or dissolving the Lead Entity.</w:t>
      </w:r>
    </w:p>
    <w:p w14:paraId="76442907" w14:textId="77777777" w:rsidR="00A26895" w:rsidRDefault="003D6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Selecting a Contracting Agent for the Lead Entity.</w:t>
      </w:r>
    </w:p>
    <w:p w14:paraId="2FE6DF17" w14:textId="77777777" w:rsidR="00A26895" w:rsidRDefault="003D6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Appointing Citizen Lead Entity Group Members.</w:t>
      </w:r>
    </w:p>
    <w:p w14:paraId="47093E69" w14:textId="77777777" w:rsidR="00A26895" w:rsidRDefault="003D6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Changing Citizen Member term length (Note: all Citizen Member terms must be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for the same length of time, i.e. 1 year, 2 year, etc.).</w:t>
      </w:r>
    </w:p>
    <w:p w14:paraId="48AC1FCE" w14:textId="77777777" w:rsidR="00A26895" w:rsidRDefault="003D6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Specifying if increased or decreased citizen participation is desired.</w:t>
      </w:r>
    </w:p>
    <w:p w14:paraId="0E4CFDA0" w14:textId="77777777" w:rsidR="00A26895" w:rsidRDefault="00A268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3AAAAA28" w14:textId="77777777" w:rsidR="00A26895" w:rsidRDefault="00A268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404EA1DD" w14:textId="77777777" w:rsidR="00A26895" w:rsidRDefault="005B1B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lastRenderedPageBreak/>
        <w:pict w14:anchorId="2D7BCE52">
          <v:rect id="_x0000_i1026" style="width:0;height:1.5pt" o:hralign="center" o:hrstd="t" o:hr="t" fillcolor="#a0a0a0" stroked="f"/>
        </w:pict>
      </w:r>
    </w:p>
    <w:p w14:paraId="23A47341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666666"/>
          <w:sz w:val="28"/>
          <w:szCs w:val="28"/>
        </w:rPr>
      </w:pPr>
      <w:r>
        <w:rPr>
          <w:b/>
          <w:i/>
          <w:color w:val="666666"/>
          <w:sz w:val="28"/>
          <w:szCs w:val="28"/>
        </w:rPr>
        <w:t>Section 3: The Lead Entity Group</w:t>
      </w:r>
      <w:r>
        <w:rPr>
          <w:rFonts w:ascii="Arial" w:eastAsia="Arial" w:hAnsi="Arial" w:cs="Arial"/>
          <w:b/>
          <w:color w:val="666666"/>
          <w:sz w:val="28"/>
          <w:szCs w:val="28"/>
        </w:rPr>
        <w:t xml:space="preserve"> </w:t>
      </w:r>
    </w:p>
    <w:p w14:paraId="76E64187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666666"/>
          <w:sz w:val="28"/>
          <w:szCs w:val="28"/>
        </w:rPr>
      </w:pPr>
    </w:p>
    <w:p w14:paraId="7A6CCBBB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</w:rPr>
        <w:t>The Lead Entity Group: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3AD0B028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302C5AC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Lead Entity Group (LEG) includes Initiating Government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Members and appointed Citizen Members. Lead Entity Group Membership shall be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consistent with the Washington State Salmon Recovery Act (RCW 77.85) and, to the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degree possible; reflect interests identified in the statute. The Group will strive to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maintain representatives from all Initiating Governments and three Citizen Members.</w:t>
      </w:r>
    </w:p>
    <w:p w14:paraId="4C663AD7" w14:textId="77777777" w:rsidR="00A26895" w:rsidRDefault="00A26895">
      <w:pPr>
        <w:spacing w:after="0" w:line="240" w:lineRule="auto"/>
        <w:ind w:left="720"/>
        <w:rPr>
          <w:rFonts w:ascii="Arial" w:eastAsia="Arial" w:hAnsi="Arial" w:cs="Arial"/>
          <w:b/>
          <w:sz w:val="24"/>
          <w:szCs w:val="24"/>
        </w:rPr>
      </w:pPr>
    </w:p>
    <w:p w14:paraId="08EC1E8E" w14:textId="77777777" w:rsidR="00A26895" w:rsidRDefault="003D69E8">
      <w:pPr>
        <w:spacing w:after="0" w:line="240" w:lineRule="auto"/>
        <w:ind w:left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color w:val="3D85C6"/>
          <w:sz w:val="24"/>
          <w:szCs w:val="24"/>
        </w:rPr>
        <w:t>Citizen Members: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When making Citizen Appointments, the Initiating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Government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Members shall strive for geographic understanding and diversity. However, Citizen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Members, like their Initiating Government and Technical Review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Group counterparts,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should come to the table with a “big picture approach.”</w:t>
      </w:r>
    </w:p>
    <w:p w14:paraId="655CD5E5" w14:textId="77777777" w:rsidR="00A26895" w:rsidRDefault="00A26895">
      <w:pPr>
        <w:spacing w:after="0" w:line="240" w:lineRule="auto"/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p w14:paraId="3586A7C1" w14:textId="77777777" w:rsidR="00A26895" w:rsidRDefault="003D69E8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i/>
          <w:color w:val="3D85C6"/>
          <w:sz w:val="24"/>
          <w:szCs w:val="24"/>
        </w:rPr>
        <w:t>Ex Officio Members: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 provide needed expertise and build stronger partnerships, Ex Officio Members may be asked to participate in the Lead Entity Group.</w:t>
      </w:r>
    </w:p>
    <w:p w14:paraId="09DE70BB" w14:textId="77777777" w:rsidR="00A26895" w:rsidRDefault="00A26895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</w:p>
    <w:p w14:paraId="359772B4" w14:textId="77777777" w:rsidR="00A26895" w:rsidRDefault="003D69E8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i/>
          <w:color w:val="3D85C6"/>
          <w:sz w:val="24"/>
          <w:szCs w:val="24"/>
        </w:rPr>
        <w:t>Terms of Office:</w:t>
      </w: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Those appointed by their Initiating Government as LEG Members serve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until their government chooses to make another appointment.</w:t>
      </w:r>
    </w:p>
    <w:p w14:paraId="0E1822C9" w14:textId="77777777" w:rsidR="00A26895" w:rsidRDefault="003D69E8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Citizen</w:t>
      </w:r>
      <w:r>
        <w:rPr>
          <w:rFonts w:ascii="Arial" w:eastAsia="Arial" w:hAnsi="Arial" w:cs="Arial"/>
          <w:sz w:val="24"/>
          <w:szCs w:val="24"/>
        </w:rPr>
        <w:t xml:space="preserve"> or </w:t>
      </w:r>
      <w:r>
        <w:rPr>
          <w:rFonts w:ascii="Arial" w:eastAsia="Arial" w:hAnsi="Arial" w:cs="Arial"/>
          <w:i/>
          <w:sz w:val="24"/>
          <w:szCs w:val="24"/>
        </w:rPr>
        <w:t>Ex Officio</w:t>
      </w:r>
      <w:r>
        <w:rPr>
          <w:rFonts w:ascii="Arial" w:eastAsia="Arial" w:hAnsi="Arial" w:cs="Arial"/>
          <w:sz w:val="24"/>
          <w:szCs w:val="24"/>
        </w:rPr>
        <w:t xml:space="preserve"> Lead Entity Group Members are appointed for two year terms. They can be reconsidered for reappointment when their term expires.</w:t>
      </w:r>
    </w:p>
    <w:p w14:paraId="4EFB1FC2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2FE2BCC" w14:textId="77777777" w:rsidR="00A26895" w:rsidRDefault="00A26895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</w:p>
    <w:p w14:paraId="3BE2EE2D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3D85C6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Lead Entity Group </w:t>
      </w: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Participation</w:t>
      </w:r>
      <w:r>
        <w:rPr>
          <w:rFonts w:ascii="Arial" w:eastAsia="Arial" w:hAnsi="Arial" w:cs="Arial"/>
          <w:b/>
          <w:color w:val="3D85C6"/>
          <w:sz w:val="24"/>
          <w:szCs w:val="24"/>
        </w:rPr>
        <w:t>:</w:t>
      </w:r>
    </w:p>
    <w:p w14:paraId="0BD80F9D" w14:textId="77777777" w:rsidR="00A26895" w:rsidRDefault="00A26895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7ADBB6A6" w14:textId="171DB175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It is encouraged that members actively participate by attending </w:t>
      </w:r>
      <w:r w:rsidR="004C1B64">
        <w:rPr>
          <w:rFonts w:ascii="Arial" w:eastAsia="Arial" w:hAnsi="Arial" w:cs="Arial"/>
          <w:sz w:val="24"/>
          <w:szCs w:val="24"/>
        </w:rPr>
        <w:t xml:space="preserve">all </w:t>
      </w:r>
      <w:r>
        <w:rPr>
          <w:rFonts w:ascii="Arial" w:eastAsia="Arial" w:hAnsi="Arial" w:cs="Arial"/>
          <w:sz w:val="24"/>
          <w:szCs w:val="24"/>
        </w:rPr>
        <w:t xml:space="preserve">regularly scheduled meetings. The Lead Entity </w:t>
      </w:r>
      <w:r w:rsidR="004C1B64">
        <w:rPr>
          <w:rFonts w:ascii="Arial" w:eastAsia="Arial" w:hAnsi="Arial" w:cs="Arial"/>
          <w:sz w:val="24"/>
          <w:szCs w:val="24"/>
        </w:rPr>
        <w:t xml:space="preserve">Group </w:t>
      </w:r>
      <w:r>
        <w:rPr>
          <w:rFonts w:ascii="Arial" w:eastAsia="Arial" w:hAnsi="Arial" w:cs="Arial"/>
          <w:sz w:val="24"/>
          <w:szCs w:val="24"/>
        </w:rPr>
        <w:t>consider</w:t>
      </w:r>
      <w:r w:rsidR="004C1B64"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 three consecutive unexcused absences of a member or alternate representative from the regularly </w:t>
      </w:r>
      <w:r w:rsidR="00D86842">
        <w:rPr>
          <w:rFonts w:ascii="Arial" w:eastAsia="Arial" w:hAnsi="Arial" w:cs="Arial"/>
          <w:sz w:val="24"/>
          <w:szCs w:val="24"/>
        </w:rPr>
        <w:t>scheduled meetings</w:t>
      </w:r>
      <w:r>
        <w:rPr>
          <w:rFonts w:ascii="Arial" w:eastAsia="Arial" w:hAnsi="Arial" w:cs="Arial"/>
          <w:sz w:val="24"/>
          <w:szCs w:val="24"/>
        </w:rPr>
        <w:t xml:space="preserve"> as a</w:t>
      </w:r>
      <w:r w:rsidR="004C1B64">
        <w:rPr>
          <w:rFonts w:ascii="Arial" w:eastAsia="Arial" w:hAnsi="Arial" w:cs="Arial"/>
          <w:sz w:val="24"/>
          <w:szCs w:val="24"/>
        </w:rPr>
        <w:t xml:space="preserve">n abandonment of post and is subject to termination of position. An unexcused absence is when a member misses a meeting with no prior communication about their unavailability prior to the meeting. </w:t>
      </w:r>
    </w:p>
    <w:p w14:paraId="59FAFC7C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CB4F665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55D2FE6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Decision-Making</w:t>
      </w: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 by the Lead Entity Group: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33034EAA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0EDADDF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goal is to operate by general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consensus. When consensus is not possible, decisions will be made by a simple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majority vote, unless the specific decision is covered elsewhere in this document.</w:t>
      </w:r>
    </w:p>
    <w:p w14:paraId="5933FCE2" w14:textId="77777777" w:rsidR="00A26895" w:rsidRDefault="00A2689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A793EC5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Decision-making by consensus takes the views of each participant into account. Every</w:t>
      </w:r>
    </w:p>
    <w:p w14:paraId="5869EF25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member has an opportunity to voice their opinion, or block a proposal if they are</w:t>
      </w:r>
    </w:p>
    <w:p w14:paraId="730847A3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strongly opposed to a particular decision. Conflicts will be resolved through negotiation</w:t>
      </w:r>
    </w:p>
    <w:p w14:paraId="1FB13952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until consensus is achieved, a vote is called for, or the item is tabled. Members may</w:t>
      </w:r>
    </w:p>
    <w:p w14:paraId="6CF0B110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choose to abstain from a particular consensus process.</w:t>
      </w:r>
    </w:p>
    <w:p w14:paraId="68C5AE71" w14:textId="77777777" w:rsidR="00A26895" w:rsidRDefault="00A2689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2C21A2B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Reasons for any dissent on decisions will be documented in the meeting minutes. If</w:t>
      </w:r>
    </w:p>
    <w:p w14:paraId="6B72936C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arranged in advance, members may vote via phone or e-mail on specific issues.</w:t>
      </w:r>
    </w:p>
    <w:p w14:paraId="258E9218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A quorum of 5 members is required to make decisions. That includes at least 3</w:t>
      </w:r>
    </w:p>
    <w:p w14:paraId="698776DC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Initiating Government Members.</w:t>
      </w:r>
    </w:p>
    <w:p w14:paraId="0CE7D574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4F47C76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25792FC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Lead Entity Group </w:t>
      </w: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Responsibilities</w:t>
      </w:r>
      <w:r>
        <w:rPr>
          <w:rFonts w:ascii="Arial" w:eastAsia="Arial" w:hAnsi="Arial" w:cs="Arial"/>
          <w:b/>
          <w:color w:val="3D85C6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14AE9867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9196C81" w14:textId="1348D2B8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Responsibilities of Lead Entity Group Members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D86842">
        <w:rPr>
          <w:rFonts w:ascii="Arial" w:eastAsia="Arial" w:hAnsi="Arial" w:cs="Arial"/>
          <w:color w:val="000000"/>
          <w:sz w:val="24"/>
          <w:szCs w:val="24"/>
        </w:rPr>
        <w:t>are:</w:t>
      </w:r>
    </w:p>
    <w:p w14:paraId="2F645679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7562FFB" w14:textId="77777777" w:rsidR="00A26895" w:rsidRDefault="003D6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Prioritizing the North Olympic Peninsula Lead Entity Project list, which is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generally forwarded annually to the Salmon Recovery Funding Board (SRFB) for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SRFB &amp; Puget Sound Acquisition and </w:t>
      </w:r>
      <w:r>
        <w:rPr>
          <w:rFonts w:ascii="Arial" w:eastAsia="Arial" w:hAnsi="Arial" w:cs="Arial"/>
          <w:sz w:val="24"/>
          <w:szCs w:val="24"/>
        </w:rPr>
        <w:t>Restoration (PSAR)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dollars (when available).</w:t>
      </w:r>
    </w:p>
    <w:p w14:paraId="007B89BA" w14:textId="77777777" w:rsidR="00A26895" w:rsidRDefault="003D6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Approving the process in which new projects are added to the Lead Entity’s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short-term and long-term workplans, as well as the process in which the projects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are scored and ranked.</w:t>
      </w:r>
    </w:p>
    <w:p w14:paraId="1E5F5A5F" w14:textId="77777777" w:rsidR="00A26895" w:rsidRDefault="003D6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Determining where to establish priority projects on the workplan that are eligible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to apply for funding.</w:t>
      </w:r>
    </w:p>
    <w:p w14:paraId="4B1AB206" w14:textId="77777777" w:rsidR="00A26895" w:rsidRDefault="003D6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Reviewing the Annual Budget, as well as Lead Ent</w:t>
      </w:r>
      <w:r>
        <w:rPr>
          <w:rFonts w:ascii="Arial" w:eastAsia="Arial" w:hAnsi="Arial" w:cs="Arial"/>
          <w:sz w:val="24"/>
          <w:szCs w:val="24"/>
        </w:rPr>
        <w:t>ity biannual nar</w:t>
      </w:r>
      <w:r>
        <w:rPr>
          <w:rFonts w:ascii="Arial" w:eastAsia="Arial" w:hAnsi="Arial" w:cs="Arial"/>
          <w:color w:val="000000"/>
          <w:sz w:val="24"/>
          <w:szCs w:val="24"/>
        </w:rPr>
        <w:t>rative and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budget reports.</w:t>
      </w:r>
    </w:p>
    <w:p w14:paraId="5A2C6868" w14:textId="77777777" w:rsidR="00A26895" w:rsidRDefault="003D6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Establishing Ground Rules and Conflict of Interest Policies.</w:t>
      </w:r>
    </w:p>
    <w:p w14:paraId="74AE463A" w14:textId="77777777" w:rsidR="00A26895" w:rsidRDefault="003D6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Appointing Technical Review Group Members.</w:t>
      </w:r>
    </w:p>
    <w:p w14:paraId="5CC92737" w14:textId="77777777" w:rsidR="00A26895" w:rsidRDefault="003D6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Appointing Ex Officio Members.</w:t>
      </w:r>
    </w:p>
    <w:p w14:paraId="2BF24478" w14:textId="77777777" w:rsidR="00A26895" w:rsidRDefault="003D6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Establishing Committees and Subcommittees</w:t>
      </w:r>
    </w:p>
    <w:p w14:paraId="0839811F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11B275A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9C17E2A" w14:textId="77777777" w:rsidR="00A26895" w:rsidRDefault="005B1B85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pict w14:anchorId="01A6E5ED">
          <v:rect id="_x0000_i1027" style="width:0;height:1.5pt" o:hralign="center" o:hrstd="t" o:hr="t" fillcolor="#a0a0a0" stroked="f"/>
        </w:pict>
      </w:r>
    </w:p>
    <w:p w14:paraId="7F11DC42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B3BC95C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666666"/>
          <w:sz w:val="28"/>
          <w:szCs w:val="28"/>
        </w:rPr>
      </w:pPr>
      <w:r>
        <w:rPr>
          <w:b/>
          <w:i/>
          <w:color w:val="666666"/>
          <w:sz w:val="28"/>
          <w:szCs w:val="28"/>
        </w:rPr>
        <w:t>Section 4: The Technical Review Group</w:t>
      </w:r>
      <w:r>
        <w:rPr>
          <w:rFonts w:ascii="Arial" w:eastAsia="Arial" w:hAnsi="Arial" w:cs="Arial"/>
          <w:b/>
          <w:color w:val="666666"/>
          <w:sz w:val="28"/>
          <w:szCs w:val="28"/>
        </w:rPr>
        <w:t xml:space="preserve"> </w:t>
      </w:r>
    </w:p>
    <w:p w14:paraId="6FA8B226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666666"/>
          <w:sz w:val="28"/>
          <w:szCs w:val="28"/>
        </w:rPr>
      </w:pPr>
    </w:p>
    <w:p w14:paraId="35C75304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</w:rPr>
        <w:t>The Technical Review Group: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3AC899FE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CC88170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Technical Review Group (TRG) is an advisory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committee to the Lead Entity Group that is primarily responsible for technical input. Each Initiating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Government appoints one member to the Technical R</w:t>
      </w:r>
      <w:r>
        <w:rPr>
          <w:rFonts w:ascii="Arial" w:eastAsia="Arial" w:hAnsi="Arial" w:cs="Arial"/>
          <w:sz w:val="24"/>
          <w:szCs w:val="24"/>
        </w:rPr>
        <w:t xml:space="preserve">eview </w:t>
      </w:r>
      <w:r>
        <w:rPr>
          <w:rFonts w:ascii="Arial" w:eastAsia="Arial" w:hAnsi="Arial" w:cs="Arial"/>
          <w:color w:val="000000"/>
          <w:sz w:val="24"/>
          <w:szCs w:val="24"/>
        </w:rPr>
        <w:t>Group and the Lead Entity Group appoints others. Other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positions on the Te</w:t>
      </w:r>
      <w:r>
        <w:rPr>
          <w:rFonts w:ascii="Arial" w:eastAsia="Arial" w:hAnsi="Arial" w:cs="Arial"/>
          <w:sz w:val="24"/>
          <w:szCs w:val="24"/>
        </w:rPr>
        <w:t xml:space="preserve">chnical Review </w:t>
      </w:r>
      <w:r>
        <w:rPr>
          <w:rFonts w:ascii="Arial" w:eastAsia="Arial" w:hAnsi="Arial" w:cs="Arial"/>
          <w:color w:val="000000"/>
          <w:sz w:val="24"/>
          <w:szCs w:val="24"/>
        </w:rPr>
        <w:t>Group are considered and appointed by the Lead Entity Group.</w:t>
      </w:r>
    </w:p>
    <w:p w14:paraId="731A6932" w14:textId="77777777" w:rsidR="00A26895" w:rsidRDefault="00A2689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7429641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Lead Entity Group remains open to reviewing applications of those interested in</w:t>
      </w:r>
    </w:p>
    <w:p w14:paraId="308B1574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serving on the Technical Review Group throughout the year. It is preferable to recruit</w:t>
      </w:r>
    </w:p>
    <w:p w14:paraId="62C2D4D0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and add new members prior to the annual updated three-year workplan. Those</w:t>
      </w:r>
    </w:p>
    <w:p w14:paraId="676B08F3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interested in serving on the Technical Review Group are requested to send a resume</w:t>
      </w:r>
    </w:p>
    <w:p w14:paraId="104346DE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and written letter of interest via e-mail to the Lead Entity Coordinator, who will bring it to the Lead Entity Group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for consideration.</w:t>
      </w:r>
    </w:p>
    <w:p w14:paraId="00027E68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AB80164" w14:textId="77777777" w:rsidR="00A26895" w:rsidRDefault="003D69E8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i/>
          <w:color w:val="3D85C6"/>
          <w:sz w:val="24"/>
          <w:szCs w:val="24"/>
        </w:rPr>
        <w:lastRenderedPageBreak/>
        <w:t>Terms of Office:</w:t>
      </w: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Those appointed by their Initiating Government as Technical Review Group Members serve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until their government chooses to make another appointment.</w:t>
      </w:r>
    </w:p>
    <w:p w14:paraId="001A6094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EF7C9C9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304EA74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Decision-Making</w:t>
      </w: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 by the Technical Review Group: </w:t>
      </w:r>
    </w:p>
    <w:p w14:paraId="7EA34274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8395825" w14:textId="77777777" w:rsidR="00A26895" w:rsidRDefault="003D69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goal is to operate by general consensus. When consensus is not possible, decisions will be made by a simple majority vote, unless the specific decision is covered elsewhere in this document.</w:t>
      </w:r>
    </w:p>
    <w:p w14:paraId="2AF774F6" w14:textId="77777777" w:rsidR="00A26895" w:rsidRDefault="003D69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Decision-making by consensus takes the views of each participant into account. Every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member has an opportunity to voice their opinion, or block a proposal if they are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strongly opposed to a particular decision. Conflicts will be resolved through negotiation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until consensus is achieved, a vote is called for, or the item is tabled. </w:t>
      </w:r>
    </w:p>
    <w:p w14:paraId="724EBBF5" w14:textId="77777777" w:rsidR="00A26895" w:rsidRDefault="003D69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Members may choose to abstain from a particular consensus process.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Reasons for any dissent on decisions will be documented in the meeting minutes.</w:t>
      </w:r>
    </w:p>
    <w:p w14:paraId="518DA7DB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26D4E28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Technical Review Group </w:t>
      </w: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Responsibilities</w:t>
      </w:r>
      <w:r>
        <w:rPr>
          <w:rFonts w:ascii="Arial" w:eastAsia="Arial" w:hAnsi="Arial" w:cs="Arial"/>
          <w:b/>
          <w:color w:val="3D85C6"/>
          <w:sz w:val="24"/>
          <w:szCs w:val="24"/>
        </w:rPr>
        <w:t>: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765C26F3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84F30FD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Responsibilities of Technical Review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Group Members are:</w:t>
      </w:r>
    </w:p>
    <w:p w14:paraId="2117255D" w14:textId="77777777" w:rsidR="00A26895" w:rsidRDefault="00A2689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0013741" w14:textId="77777777" w:rsidR="00A26895" w:rsidRDefault="003D69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Developing watershed and salmon recovery strategies and three-year workplans, which are forwarded to the Lead Entity Group for approval.</w:t>
      </w:r>
    </w:p>
    <w:p w14:paraId="19B1839F" w14:textId="77777777" w:rsidR="00A26895" w:rsidRDefault="003D69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 partnership with the Lead Entity Group, developing scoring criteria and weightings, which are used to score and rank project concepts and projects proposed for funding.</w:t>
      </w:r>
    </w:p>
    <w:p w14:paraId="4A13176B" w14:textId="77777777" w:rsidR="00A26895" w:rsidRDefault="003D69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Scoring projects proposed for funding and project concepts proposed for the three-year workplan. This work follows decision-making criteria previously established and approved by the Lead Entity Group. </w:t>
      </w:r>
    </w:p>
    <w:p w14:paraId="59764799" w14:textId="77777777" w:rsidR="00A26895" w:rsidRDefault="003D69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Providing suggestions and assistance to strengthen needed salmon restoration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and recovery efforts.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Suggesting work needed to further the organization's mission.</w:t>
      </w:r>
    </w:p>
    <w:p w14:paraId="29A5AFB8" w14:textId="77777777" w:rsidR="00A26895" w:rsidRDefault="003D69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Lead Entity Group may request the Technical Review Group to undertake other technical tasks that will benefit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the work of the North Olympic Peninsula Lead Entity for Salmon.</w:t>
      </w:r>
    </w:p>
    <w:p w14:paraId="5452F857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E0DFAEC" w14:textId="77777777" w:rsidR="008B4390" w:rsidRDefault="008B4390">
      <w:pPr>
        <w:spacing w:after="0" w:line="240" w:lineRule="auto"/>
      </w:pPr>
    </w:p>
    <w:p w14:paraId="495FF6FE" w14:textId="77777777" w:rsidR="008B4390" w:rsidRDefault="008B4390">
      <w:pPr>
        <w:spacing w:after="0" w:line="240" w:lineRule="auto"/>
      </w:pPr>
    </w:p>
    <w:p w14:paraId="01933E27" w14:textId="77777777" w:rsidR="008B4390" w:rsidRDefault="008B4390">
      <w:pPr>
        <w:spacing w:after="0" w:line="240" w:lineRule="auto"/>
      </w:pPr>
    </w:p>
    <w:p w14:paraId="08C40369" w14:textId="77777777" w:rsidR="00A26895" w:rsidRDefault="005B1B8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pict w14:anchorId="7ACF692B">
          <v:rect id="_x0000_i1028" style="width:0;height:1.5pt" o:hralign="center" o:hrstd="t" o:hr="t" fillcolor="#a0a0a0" stroked="f"/>
        </w:pict>
      </w:r>
    </w:p>
    <w:p w14:paraId="62C3912F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b/>
          <w:i/>
          <w:color w:val="666666"/>
          <w:sz w:val="28"/>
          <w:szCs w:val="28"/>
        </w:rPr>
        <w:t>Section 5: Conflict of Interest</w:t>
      </w:r>
      <w:r w:rsidR="004C1B64">
        <w:rPr>
          <w:b/>
          <w:i/>
          <w:color w:val="666666"/>
          <w:sz w:val="28"/>
          <w:szCs w:val="28"/>
        </w:rPr>
        <w:t xml:space="preserve"> &amp; Appearance of Fairness</w:t>
      </w:r>
    </w:p>
    <w:p w14:paraId="03A5ACB4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5DF317D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  <w:u w:val="single"/>
        </w:rPr>
        <w:t>Conflict of Interest</w:t>
      </w:r>
      <w:r w:rsidR="004C1B64">
        <w:rPr>
          <w:rFonts w:ascii="Arial" w:eastAsia="Arial" w:hAnsi="Arial" w:cs="Arial"/>
          <w:b/>
          <w:color w:val="3D85C6"/>
          <w:sz w:val="24"/>
          <w:szCs w:val="24"/>
          <w:u w:val="single"/>
        </w:rPr>
        <w:t xml:space="preserve"> &amp; Appearance of Fairness</w:t>
      </w:r>
      <w:r>
        <w:rPr>
          <w:rFonts w:ascii="Arial" w:eastAsia="Arial" w:hAnsi="Arial" w:cs="Arial"/>
          <w:b/>
          <w:color w:val="3D85C6"/>
          <w:sz w:val="24"/>
          <w:szCs w:val="24"/>
        </w:rPr>
        <w:t>:</w:t>
      </w:r>
      <w:r>
        <w:rPr>
          <w:rFonts w:ascii="Arial" w:eastAsia="Arial" w:hAnsi="Arial" w:cs="Arial"/>
          <w:b/>
          <w:sz w:val="24"/>
          <w:szCs w:val="24"/>
        </w:rPr>
        <w:t xml:space="preserve">  </w:t>
      </w:r>
    </w:p>
    <w:p w14:paraId="5E7A2F72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07B1A9C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Both Lead Entity Group &amp; Technical Review Group Committee Members are expected to recuse themselves from reviewing any applications in which they have a prior involvement or interest. Technical Review Group Members must recuse themselves from scoring projects or workplan project proposals in which they are a project applicant/sponsor. </w:t>
      </w:r>
    </w:p>
    <w:p w14:paraId="5DB87F41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Specifically, a conflict of interest</w:t>
      </w:r>
      <w:r w:rsidR="009A1880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9A1880">
        <w:rPr>
          <w:rFonts w:ascii="Arial" w:eastAsia="Arial" w:hAnsi="Arial" w:cs="Arial"/>
          <w:sz w:val="24"/>
          <w:szCs w:val="24"/>
        </w:rPr>
        <w:t>and the resultant appearance of fairness</w:t>
      </w:r>
      <w:r w:rsidR="000A1DD0">
        <w:rPr>
          <w:rFonts w:ascii="Arial" w:eastAsia="Arial" w:hAnsi="Arial" w:cs="Arial"/>
          <w:sz w:val="24"/>
          <w:szCs w:val="24"/>
        </w:rPr>
        <w:t xml:space="preserve"> </w:t>
      </w:r>
      <w:r w:rsidR="000A1DD0" w:rsidRPr="00232957">
        <w:rPr>
          <w:rFonts w:ascii="Arial" w:eastAsia="Arial" w:hAnsi="Arial" w:cs="Arial"/>
          <w:color w:val="0070C0"/>
          <w:sz w:val="24"/>
          <w:szCs w:val="24"/>
        </w:rPr>
        <w:t>issue</w:t>
      </w:r>
      <w:r w:rsidR="009A1880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occurs if the reviewer:</w:t>
      </w:r>
    </w:p>
    <w:p w14:paraId="09F6BD61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9CBE0C4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 Has financial ties to the applicant;</w:t>
      </w:r>
    </w:p>
    <w:p w14:paraId="7D7AB7AF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2. Sits on the applicant’s Board of Directors</w:t>
      </w:r>
    </w:p>
    <w:p w14:paraId="67E5B7C6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 Stands to benefit directly from the proposed project’s completion; or</w:t>
      </w:r>
    </w:p>
    <w:p w14:paraId="72C802DD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 Has contributed directly to the development of the proposal</w:t>
      </w:r>
    </w:p>
    <w:p w14:paraId="7E22D39D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91D2DA4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Prior knowledge of the proposal or prior contact with the applicant </w:t>
      </w:r>
      <w:r>
        <w:rPr>
          <w:rFonts w:ascii="Arial" w:eastAsia="Arial" w:hAnsi="Arial" w:cs="Arial"/>
          <w:i/>
          <w:sz w:val="24"/>
          <w:szCs w:val="24"/>
        </w:rPr>
        <w:t xml:space="preserve">does not </w:t>
      </w:r>
      <w:r>
        <w:rPr>
          <w:rFonts w:ascii="Arial" w:eastAsia="Arial" w:hAnsi="Arial" w:cs="Arial"/>
          <w:sz w:val="24"/>
          <w:szCs w:val="24"/>
        </w:rPr>
        <w:t>constitute</w:t>
      </w:r>
    </w:p>
    <w:p w14:paraId="0F6CACF2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conflict of interest, </w:t>
      </w:r>
      <w:proofErr w:type="gramStart"/>
      <w:r>
        <w:rPr>
          <w:rFonts w:ascii="Arial" w:eastAsia="Arial" w:hAnsi="Arial" w:cs="Arial"/>
          <w:sz w:val="24"/>
          <w:szCs w:val="24"/>
        </w:rPr>
        <w:t>as long 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none of the above criteria apply to the reviewer. If you</w:t>
      </w:r>
    </w:p>
    <w:p w14:paraId="57337483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have any concerns or questions about whether your relationship with an applicant or</w:t>
      </w:r>
    </w:p>
    <w:p w14:paraId="6C09B30F" w14:textId="770180EC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proposal warrants recusal, please explain your situation to the other members at the meeting where a vote is to take place. If there’s a problem that can’t be resolved within the group, it will be advanced to the Lead Entity Group for their consideration. They will decide jointly whether it constitutes a potential conflict of interest</w:t>
      </w:r>
      <w:r w:rsidR="009A1880">
        <w:rPr>
          <w:rFonts w:ascii="Arial" w:eastAsia="Arial" w:hAnsi="Arial" w:cs="Arial"/>
          <w:sz w:val="24"/>
          <w:szCs w:val="24"/>
        </w:rPr>
        <w:t>/</w:t>
      </w:r>
      <w:r w:rsidR="004C1B64">
        <w:rPr>
          <w:rFonts w:ascii="Arial" w:eastAsia="Arial" w:hAnsi="Arial" w:cs="Arial"/>
          <w:sz w:val="24"/>
          <w:szCs w:val="24"/>
        </w:rPr>
        <w:t>appearance of fairness issue.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4B272EC0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9394F98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All members must complete a Public Disclosure Form as part of the grant round process. </w:t>
      </w:r>
    </w:p>
    <w:p w14:paraId="66AF5DDF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0B1242D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Members with a conflict of interest in the outcomes shall abstain from voting.</w:t>
      </w:r>
    </w:p>
    <w:p w14:paraId="56C5CF54" w14:textId="77777777" w:rsidR="00A26895" w:rsidRDefault="00A268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7DAFA274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3D85C6"/>
          <w:sz w:val="24"/>
          <w:szCs w:val="24"/>
        </w:rPr>
      </w:pPr>
    </w:p>
    <w:p w14:paraId="55F82D48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3D85C6"/>
          <w:sz w:val="24"/>
          <w:szCs w:val="24"/>
        </w:rPr>
      </w:pPr>
    </w:p>
    <w:p w14:paraId="2CEE07C9" w14:textId="77777777" w:rsidR="00A26895" w:rsidRDefault="005B1B85">
      <w:pPr>
        <w:spacing w:after="0" w:line="240" w:lineRule="auto"/>
        <w:rPr>
          <w:rFonts w:ascii="Arial" w:eastAsia="Arial" w:hAnsi="Arial" w:cs="Arial"/>
          <w:b/>
          <w:color w:val="3D85C6"/>
          <w:sz w:val="24"/>
          <w:szCs w:val="24"/>
        </w:rPr>
      </w:pPr>
      <w:r>
        <w:pict w14:anchorId="0202A00B">
          <v:rect id="_x0000_i1029" style="width:0;height:1.5pt" o:hralign="center" o:hrstd="t" o:hr="t" fillcolor="#a0a0a0" stroked="f"/>
        </w:pict>
      </w:r>
    </w:p>
    <w:p w14:paraId="42AD81B0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3D85C6"/>
          <w:sz w:val="24"/>
          <w:szCs w:val="24"/>
        </w:rPr>
      </w:pPr>
    </w:p>
    <w:p w14:paraId="15550459" w14:textId="77777777" w:rsidR="00A26895" w:rsidRDefault="003D69E8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b/>
          <w:i/>
          <w:color w:val="666666"/>
          <w:sz w:val="28"/>
          <w:szCs w:val="28"/>
        </w:rPr>
        <w:t xml:space="preserve">Section 6: The Contracting Agent </w:t>
      </w:r>
    </w:p>
    <w:p w14:paraId="799481C7" w14:textId="77777777" w:rsidR="00A26895" w:rsidRDefault="00A2689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1439904" w14:textId="77777777" w:rsidR="00A26895" w:rsidRDefault="003D69E8">
      <w:pPr>
        <w:spacing w:after="0" w:line="240" w:lineRule="auto"/>
        <w:rPr>
          <w:rFonts w:ascii="Arial" w:eastAsia="Arial" w:hAnsi="Arial" w:cs="Arial"/>
          <w:b/>
          <w:color w:val="3D85C6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</w:rPr>
        <w:t xml:space="preserve">The Contracting Agent: </w:t>
      </w:r>
    </w:p>
    <w:p w14:paraId="295213AF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CC9E343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Contracting Agent is the legal organization responsible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for contracting with the Washington Recreation and Conservation Organization for Lead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Entity Program funding. The contracting agent is responsible for hiring/contracting a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North Olympic Peninsula Lead Entity Coordinator (upon the recommendation of the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Initiating Government members), accounting for budget revenue and expenditures,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purchasing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supplies, and administering office space.</w:t>
      </w:r>
    </w:p>
    <w:p w14:paraId="78204E23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A629BE4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Contracting Agent at this time is Clallam County.</w:t>
      </w:r>
    </w:p>
    <w:p w14:paraId="04032105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7167039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2DBDF0D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808ACDF" w14:textId="77777777" w:rsidR="00A26895" w:rsidRDefault="005B1B8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pict w14:anchorId="39C289F5">
          <v:rect id="_x0000_i1030" style="width:0;height:1.5pt" o:hralign="center" o:hrstd="t" o:hr="t" fillcolor="#a0a0a0" stroked="f"/>
        </w:pict>
      </w:r>
    </w:p>
    <w:p w14:paraId="0FDCB4DE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1136891" w14:textId="77777777" w:rsidR="00A26895" w:rsidRDefault="003D69E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b/>
          <w:i/>
          <w:color w:val="666666"/>
          <w:sz w:val="28"/>
          <w:szCs w:val="28"/>
        </w:rPr>
        <w:lastRenderedPageBreak/>
        <w:t xml:space="preserve">Section 7: The Coordinator </w:t>
      </w:r>
    </w:p>
    <w:p w14:paraId="009F33D5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6942BD9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3D85C6"/>
          <w:sz w:val="24"/>
          <w:szCs w:val="24"/>
        </w:rPr>
        <w:t>The North Olympic Peninsula Lead Entity Coordinator: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The North Olympic</w:t>
      </w:r>
    </w:p>
    <w:p w14:paraId="2D6309E3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Peninsula Lead Entity Coordinator takes direction from the Initiating Governments, but</w:t>
      </w:r>
    </w:p>
    <w:p w14:paraId="4B7F179D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reports to the Contracting Agent. The Lead Entity Coordinator organizes and facilitates</w:t>
      </w:r>
    </w:p>
    <w:p w14:paraId="65B9CD2E" w14:textId="77777777" w:rsidR="00A26895" w:rsidRDefault="003D69E8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meetings.</w:t>
      </w:r>
    </w:p>
    <w:p w14:paraId="2401542D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206FC7E" w14:textId="77777777" w:rsidR="00A26895" w:rsidRDefault="00A26895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1145D0" w14:textId="77777777" w:rsidR="00A26895" w:rsidRDefault="00A2689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EB026CF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6CDC2C4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EB5C4CD" w14:textId="77777777" w:rsidR="00A26895" w:rsidRDefault="00A268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E4BC005" w14:textId="77777777" w:rsidR="00A26895" w:rsidRDefault="00A26895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B12479A" w14:textId="4E58BDEE" w:rsidR="00A26895" w:rsidRDefault="003D69E8">
      <w:pPr>
        <w:spacing w:after="0" w:line="240" w:lineRule="auto"/>
        <w:rPr>
          <w:rFonts w:ascii="Arial" w:eastAsia="Arial" w:hAnsi="Arial" w:cs="Arial"/>
          <w:i/>
          <w:color w:val="000000"/>
          <w:sz w:val="20"/>
          <w:szCs w:val="2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Approved at the </w:t>
      </w:r>
      <w:r w:rsidR="00AA52F6">
        <w:rPr>
          <w:rFonts w:ascii="Arial" w:eastAsia="Arial" w:hAnsi="Arial" w:cs="Arial"/>
          <w:i/>
          <w:color w:val="000000"/>
          <w:sz w:val="24"/>
          <w:szCs w:val="24"/>
        </w:rPr>
        <w:t>February 19</w:t>
      </w:r>
      <w:r w:rsidR="00AA52F6" w:rsidRPr="00AA52F6">
        <w:rPr>
          <w:rFonts w:ascii="Arial" w:eastAsia="Arial" w:hAnsi="Arial" w:cs="Arial"/>
          <w:i/>
          <w:color w:val="000000"/>
          <w:sz w:val="24"/>
          <w:szCs w:val="24"/>
          <w:vertAlign w:val="superscript"/>
        </w:rPr>
        <w:t>th</w:t>
      </w:r>
      <w:r w:rsidR="00AA52F6">
        <w:rPr>
          <w:rFonts w:ascii="Arial" w:eastAsia="Arial" w:hAnsi="Arial" w:cs="Arial"/>
          <w:i/>
          <w:color w:val="000000"/>
          <w:sz w:val="24"/>
          <w:szCs w:val="24"/>
        </w:rPr>
        <w:t xml:space="preserve">, </w:t>
      </w:r>
      <w:r w:rsidR="00E012AF">
        <w:rPr>
          <w:rFonts w:ascii="Arial" w:eastAsia="Arial" w:hAnsi="Arial" w:cs="Arial"/>
          <w:i/>
          <w:color w:val="000000"/>
          <w:sz w:val="24"/>
          <w:szCs w:val="24"/>
        </w:rPr>
        <w:t>2021,</w:t>
      </w:r>
      <w:r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color w:val="000000"/>
          <w:sz w:val="24"/>
          <w:szCs w:val="24"/>
        </w:rPr>
        <w:t>Meeting of the North Olympic Peninsula Lead</w:t>
      </w:r>
      <w:r>
        <w:rPr>
          <w:rFonts w:ascii="Arial" w:eastAsia="Arial" w:hAnsi="Arial" w:cs="Arial"/>
          <w:i/>
          <w:sz w:val="24"/>
          <w:szCs w:val="24"/>
        </w:rPr>
        <w:t xml:space="preserve"> </w:t>
      </w:r>
      <w:r>
        <w:rPr>
          <w:rFonts w:ascii="Arial" w:eastAsia="Arial" w:hAnsi="Arial" w:cs="Arial"/>
          <w:i/>
          <w:color w:val="000000"/>
          <w:sz w:val="24"/>
          <w:szCs w:val="24"/>
        </w:rPr>
        <w:t>Entity for Salmon.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    </w:t>
      </w:r>
    </w:p>
    <w:sectPr w:rsidR="00A268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350" w:bottom="720" w:left="1530" w:header="14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3940C" w14:textId="77777777" w:rsidR="005B1B85" w:rsidRDefault="005B1B85">
      <w:pPr>
        <w:spacing w:after="0" w:line="240" w:lineRule="auto"/>
      </w:pPr>
      <w:r>
        <w:separator/>
      </w:r>
    </w:p>
  </w:endnote>
  <w:endnote w:type="continuationSeparator" w:id="0">
    <w:p w14:paraId="15055457" w14:textId="77777777" w:rsidR="005B1B85" w:rsidRDefault="005B1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A4F3F" w14:textId="77777777" w:rsidR="004C1B64" w:rsidRDefault="004C1B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6C8D" w14:textId="77777777" w:rsidR="00A26895" w:rsidRDefault="003D69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eastAsia="Calibri" w:cs="Calibri"/>
        <w:color w:val="666666"/>
      </w:rPr>
    </w:pPr>
    <w:r>
      <w:rPr>
        <w:rFonts w:eastAsia="Calibri" w:cs="Calibri"/>
        <w:color w:val="666666"/>
      </w:rPr>
      <w:fldChar w:fldCharType="begin"/>
    </w:r>
    <w:r>
      <w:rPr>
        <w:rFonts w:eastAsia="Calibri" w:cs="Calibri"/>
        <w:color w:val="666666"/>
      </w:rPr>
      <w:instrText>PAGE</w:instrText>
    </w:r>
    <w:r>
      <w:rPr>
        <w:rFonts w:eastAsia="Calibri" w:cs="Calibri"/>
        <w:color w:val="666666"/>
      </w:rPr>
      <w:fldChar w:fldCharType="separate"/>
    </w:r>
    <w:r w:rsidR="00792F9E">
      <w:rPr>
        <w:rFonts w:eastAsia="Calibri" w:cs="Calibri"/>
        <w:noProof/>
        <w:color w:val="666666"/>
      </w:rPr>
      <w:t>1</w:t>
    </w:r>
    <w:r>
      <w:rPr>
        <w:rFonts w:eastAsia="Calibri" w:cs="Calibri"/>
        <w:color w:val="666666"/>
      </w:rPr>
      <w:fldChar w:fldCharType="end"/>
    </w:r>
  </w:p>
  <w:p w14:paraId="74132E71" w14:textId="77777777" w:rsidR="00A26895" w:rsidRDefault="00A268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eastAsia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15D37" w14:textId="77777777" w:rsidR="004C1B64" w:rsidRDefault="004C1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A9EA1" w14:textId="77777777" w:rsidR="005B1B85" w:rsidRDefault="005B1B85">
      <w:pPr>
        <w:spacing w:after="0" w:line="240" w:lineRule="auto"/>
      </w:pPr>
      <w:r>
        <w:separator/>
      </w:r>
    </w:p>
  </w:footnote>
  <w:footnote w:type="continuationSeparator" w:id="0">
    <w:p w14:paraId="51E1A69E" w14:textId="77777777" w:rsidR="005B1B85" w:rsidRDefault="005B1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1472" w14:textId="59E96D26" w:rsidR="004C1B64" w:rsidRDefault="004C1B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24D4" w14:textId="6B0D2757" w:rsidR="004C1B64" w:rsidRDefault="004C1B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00717" w14:textId="714AB407" w:rsidR="004C1B64" w:rsidRDefault="004C1B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63C4"/>
    <w:multiLevelType w:val="multilevel"/>
    <w:tmpl w:val="24C281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7308E0"/>
    <w:multiLevelType w:val="multilevel"/>
    <w:tmpl w:val="4BB60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8717A41"/>
    <w:multiLevelType w:val="multilevel"/>
    <w:tmpl w:val="DCD2E0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682D1B"/>
    <w:multiLevelType w:val="multilevel"/>
    <w:tmpl w:val="2042FE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EE055B5"/>
    <w:multiLevelType w:val="multilevel"/>
    <w:tmpl w:val="73587F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7F67742"/>
    <w:multiLevelType w:val="multilevel"/>
    <w:tmpl w:val="BF1C11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1383343">
    <w:abstractNumId w:val="1"/>
  </w:num>
  <w:num w:numId="2" w16cid:durableId="776754274">
    <w:abstractNumId w:val="5"/>
  </w:num>
  <w:num w:numId="3" w16cid:durableId="1162819740">
    <w:abstractNumId w:val="4"/>
  </w:num>
  <w:num w:numId="4" w16cid:durableId="1197277773">
    <w:abstractNumId w:val="0"/>
  </w:num>
  <w:num w:numId="5" w16cid:durableId="222714323">
    <w:abstractNumId w:val="3"/>
  </w:num>
  <w:num w:numId="6" w16cid:durableId="1548058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95"/>
    <w:rsid w:val="000A1DD0"/>
    <w:rsid w:val="000C7065"/>
    <w:rsid w:val="00232957"/>
    <w:rsid w:val="003146E8"/>
    <w:rsid w:val="00343CCD"/>
    <w:rsid w:val="003B66B6"/>
    <w:rsid w:val="003D3011"/>
    <w:rsid w:val="003D69E8"/>
    <w:rsid w:val="00456DF6"/>
    <w:rsid w:val="004C1B64"/>
    <w:rsid w:val="004F51CA"/>
    <w:rsid w:val="00547812"/>
    <w:rsid w:val="005B1B85"/>
    <w:rsid w:val="006D20AA"/>
    <w:rsid w:val="00752E11"/>
    <w:rsid w:val="00792F9E"/>
    <w:rsid w:val="007A3E72"/>
    <w:rsid w:val="007E1510"/>
    <w:rsid w:val="008B4390"/>
    <w:rsid w:val="009A1880"/>
    <w:rsid w:val="00A26895"/>
    <w:rsid w:val="00AA52F6"/>
    <w:rsid w:val="00D86842"/>
    <w:rsid w:val="00E012AF"/>
    <w:rsid w:val="00E4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E05D34"/>
  <w15:docId w15:val="{43F4685E-49EE-4529-9F58-366F39AA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E0B"/>
    <w:rPr>
      <w:rFonts w:eastAsiaTheme="minorEastAsia" w:cs="Times New Roman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78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78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502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C502F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3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308"/>
    <w:rPr>
      <w:rFonts w:eastAsiaTheme="minorEastAsi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243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4308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2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0D5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8E2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0D5"/>
    <w:rPr>
      <w:rFonts w:eastAsiaTheme="minorEastAsia" w:cs="Times New Roma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7A3E72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AALjUA4m/WPjvJkzhLx2sroH7g==">AMUW2mVrTWBx+u6gg3bYOziK4LKGC9jV+vd+wrorg7FLNWvLDcajVTj32q8VRdPCd9BL9KuPnH2dtYy3cu3AcWBiyeDsBIgwy9JhNt3Pocq1o7hclD2tvbnAccJX12QdwIRC2CXbblaO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1F55AF8-6709-45E9-B86F-7021C076C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1749</Words>
  <Characters>9884</Characters>
  <Application>Microsoft Office Word</Application>
  <DocSecurity>0</DocSecurity>
  <Lines>282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 Johnson</dc:creator>
  <cp:lastModifiedBy>Weaver, Shannon</cp:lastModifiedBy>
  <cp:revision>5</cp:revision>
  <dcterms:created xsi:type="dcterms:W3CDTF">2026-09-17T22:03:00Z</dcterms:created>
  <dcterms:modified xsi:type="dcterms:W3CDTF">2026-09-25T16:45:00Z</dcterms:modified>
</cp:coreProperties>
</file>